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76C25EB"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8B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43E97">
        <w:rPr>
          <w:color w:val="auto"/>
          <w:sz w:val="24"/>
        </w:rPr>
        <w:t>3GPP TSG-RAN WG2 Meeting #9</w:t>
      </w:r>
      <w:r>
        <w:rPr>
          <w:rFonts w:hint="eastAsia"/>
          <w:color w:val="auto"/>
          <w:sz w:val="24"/>
          <w:lang w:eastAsia="zh-CN"/>
        </w:rPr>
        <w:t>8</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170</w:t>
      </w:r>
      <w:r w:rsidR="00BF708D" w:rsidRPr="00BF708D">
        <w:rPr>
          <w:rFonts w:hint="eastAsia"/>
          <w:i/>
          <w:color w:val="auto"/>
          <w:sz w:val="24"/>
          <w:lang w:eastAsia="zh-CN"/>
        </w:rPr>
        <w:t>4797</w:t>
      </w:r>
    </w:p>
    <w:p w14:paraId="2AE6D983" w14:textId="77777777" w:rsidR="007E1DEE" w:rsidRPr="00C036E6" w:rsidRDefault="007E1DEE" w:rsidP="007E1DEE">
      <w:pPr>
        <w:pStyle w:val="Header"/>
        <w:tabs>
          <w:tab w:val="left" w:pos="6521"/>
        </w:tabs>
        <w:jc w:val="both"/>
        <w:rPr>
          <w:color w:val="auto"/>
          <w:sz w:val="24"/>
          <w:lang w:eastAsia="zh-CN"/>
        </w:rPr>
      </w:pPr>
      <w:r>
        <w:rPr>
          <w:rFonts w:hint="eastAsia"/>
          <w:color w:val="auto"/>
          <w:sz w:val="24"/>
          <w:lang w:eastAsia="zh-CN"/>
        </w:rPr>
        <w:t>Hangzhou</w:t>
      </w:r>
      <w:r w:rsidRPr="00943E97">
        <w:rPr>
          <w:color w:val="auto"/>
          <w:sz w:val="24"/>
        </w:rPr>
        <w:t xml:space="preserve">, </w:t>
      </w:r>
      <w:r>
        <w:rPr>
          <w:rFonts w:hint="eastAsia"/>
          <w:color w:val="auto"/>
          <w:sz w:val="24"/>
          <w:lang w:eastAsia="zh-CN"/>
        </w:rPr>
        <w:t>China</w:t>
      </w:r>
      <w:r w:rsidRPr="00943E97">
        <w:rPr>
          <w:color w:val="auto"/>
          <w:sz w:val="24"/>
        </w:rPr>
        <w:t xml:space="preserve">, </w:t>
      </w:r>
      <w:r>
        <w:rPr>
          <w:rFonts w:hint="eastAsia"/>
          <w:color w:val="auto"/>
          <w:sz w:val="24"/>
          <w:lang w:eastAsia="zh-CN"/>
        </w:rPr>
        <w:t>15</w:t>
      </w:r>
      <w:r w:rsidRPr="00943E97">
        <w:rPr>
          <w:rFonts w:hint="eastAsia"/>
          <w:color w:val="auto"/>
          <w:sz w:val="24"/>
        </w:rPr>
        <w:t>-</w:t>
      </w:r>
      <w:r>
        <w:rPr>
          <w:rFonts w:hint="eastAsia"/>
          <w:color w:val="auto"/>
          <w:sz w:val="24"/>
          <w:lang w:eastAsia="zh-CN"/>
        </w:rPr>
        <w:t>19</w:t>
      </w:r>
      <w:r w:rsidRPr="00943E97">
        <w:rPr>
          <w:rFonts w:hint="eastAsia"/>
          <w:color w:val="auto"/>
          <w:sz w:val="24"/>
        </w:rPr>
        <w:t xml:space="preserve"> </w:t>
      </w:r>
      <w:r>
        <w:rPr>
          <w:rFonts w:hint="eastAsia"/>
          <w:color w:val="auto"/>
          <w:sz w:val="24"/>
          <w:lang w:eastAsia="zh-CN"/>
        </w:rPr>
        <w:t>May</w:t>
      </w:r>
      <w:r>
        <w:rPr>
          <w:rFonts w:hint="eastAsia"/>
          <w:color w:val="auto"/>
          <w:sz w:val="24"/>
        </w:rPr>
        <w:t>, 201</w:t>
      </w:r>
      <w:r>
        <w:rPr>
          <w:rFonts w:hint="eastAsia"/>
          <w:color w:val="auto"/>
          <w:sz w:val="24"/>
          <w:lang w:eastAsia="zh-CN"/>
        </w:rPr>
        <w:t>7</w:t>
      </w:r>
    </w:p>
    <w:p w14:paraId="2AE6D984" w14:textId="77777777" w:rsidR="007E1DEE" w:rsidRDefault="007E1DEE" w:rsidP="00F13226"/>
    <w:p w14:paraId="2AE6D985" w14:textId="79FAD938"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F708D" w:rsidRPr="00BF708D">
        <w:rPr>
          <w:rFonts w:ascii="Arial" w:eastAsia="SimSun" w:hAnsi="Arial"/>
          <w:b/>
          <w:sz w:val="24"/>
          <w:lang w:val="en-US" w:eastAsia="zh-CN"/>
        </w:rPr>
        <w:t>10.2.2</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7777777"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D554C0">
        <w:rPr>
          <w:rFonts w:ascii="Arial" w:hAnsi="Arial"/>
          <w:b/>
          <w:sz w:val="24"/>
          <w:lang w:val="en-US"/>
        </w:rPr>
        <w:t>Support</w:t>
      </w:r>
      <w:r w:rsidR="00547DE2">
        <w:rPr>
          <w:rFonts w:ascii="Arial" w:hAnsi="Arial"/>
          <w:b/>
          <w:sz w:val="24"/>
          <w:lang w:val="en-US"/>
        </w:rPr>
        <w:t xml:space="preserve"> of SCG bearer</w:t>
      </w:r>
      <w:r w:rsidRPr="004E24A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2AE6D98A" w14:textId="77777777" w:rsidR="00A221C1" w:rsidRDefault="000E02E3" w:rsidP="00792E5B">
      <w:r>
        <w:t>T</w:t>
      </w:r>
      <w:r w:rsidR="00792E5B">
        <w:t xml:space="preserve">he objective of unifying the split bearers </w:t>
      </w:r>
      <w:r w:rsidR="00EA0059">
        <w:t>is</w:t>
      </w:r>
      <w:r w:rsidR="00792E5B">
        <w:t xml:space="preserve"> that there is only one split bearer type, both from the control and user plane perspective</w:t>
      </w:r>
      <w:r w:rsidR="00EA0059">
        <w:t>,</w:t>
      </w:r>
      <w:r w:rsidR="00EA0059" w:rsidRPr="00EA0059">
        <w:t xml:space="preserve"> </w:t>
      </w:r>
      <w:r w:rsidR="00EA0059">
        <w:t>from RAN2 (UE) specification perspective</w:t>
      </w:r>
      <w:r w:rsidR="00792E5B">
        <w:t xml:space="preserve">.  This should simplify the UE specifications in that there is a need to only consider one split bearer type and also reduce the number of bearer type changes to be supported. </w:t>
      </w:r>
    </w:p>
    <w:p w14:paraId="2AE6D98B" w14:textId="77777777" w:rsidR="00792E5B" w:rsidRDefault="00547DE2" w:rsidP="00792E5B">
      <w:r>
        <w:t xml:space="preserve">There is a </w:t>
      </w:r>
      <w:r w:rsidR="00EA0059">
        <w:t>further suggestion to merge</w:t>
      </w:r>
      <w:r>
        <w:t xml:space="preserve"> the SCG bearer with the split bearer</w:t>
      </w:r>
      <w:r w:rsidR="000127B5">
        <w:t xml:space="preserve"> by treating the SCG bearer as a scheduling option of SCG split bearer.</w:t>
      </w:r>
    </w:p>
    <w:p w14:paraId="2AE6D98C" w14:textId="77777777" w:rsidR="004C4FB1" w:rsidRDefault="00556012">
      <w:r>
        <w:t xml:space="preserve">In this contribution, it </w:t>
      </w:r>
      <w:r w:rsidR="00A221C1">
        <w:t>addresses</w:t>
      </w:r>
      <w:r w:rsidR="000127B5">
        <w:t xml:space="preserve"> </w:t>
      </w:r>
      <w:r w:rsidR="00EA0059">
        <w:t xml:space="preserve">whether </w:t>
      </w:r>
      <w:r w:rsidR="000127B5">
        <w:t xml:space="preserve">the </w:t>
      </w:r>
      <w:r w:rsidR="00EA0059">
        <w:t>merging</w:t>
      </w:r>
      <w:r w:rsidR="000127B5">
        <w:t xml:space="preserve"> of </w:t>
      </w:r>
      <w:r w:rsidR="00EA0059">
        <w:t xml:space="preserve">the </w:t>
      </w:r>
      <w:r w:rsidR="000127B5">
        <w:t>SCG bearer</w:t>
      </w:r>
      <w:r w:rsidR="00EA0059">
        <w:t xml:space="preserve"> makes sense</w:t>
      </w:r>
      <w:r w:rsidR="000127B5">
        <w:t xml:space="preserve"> from UE implementation point of view</w:t>
      </w:r>
      <w:r w:rsidR="003E1A61">
        <w:t>.</w:t>
      </w:r>
    </w:p>
    <w:p w14:paraId="2AE6D98D" w14:textId="77777777" w:rsidR="003E1A61" w:rsidRDefault="003E1A61" w:rsidP="00F13226">
      <w:pPr>
        <w:pStyle w:val="Heading1"/>
      </w:pPr>
      <w:r>
        <w:t>Discussion</w:t>
      </w:r>
    </w:p>
    <w:p w14:paraId="2AE6D98E" w14:textId="77777777" w:rsidR="000F375B" w:rsidRDefault="001C161F" w:rsidP="000E02E3">
      <w:r>
        <w:t>From user plane architecture point of view, the SCG bearer can be seen to be a subset of SCG split bearer</w:t>
      </w:r>
      <w:r w:rsidR="000F375B">
        <w:t xml:space="preserve"> as shown</w:t>
      </w:r>
      <w:r w:rsidR="000E614D">
        <w:t xml:space="preserve"> below:</w:t>
      </w:r>
    </w:p>
    <w:p w14:paraId="2AE6D98F" w14:textId="7FEDBAC1" w:rsidR="000F375B" w:rsidRDefault="004E5D3D" w:rsidP="000F375B">
      <w:r>
        <w:object w:dxaOrig="3810" w:dyaOrig="2130" w14:anchorId="2AE6D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90pt" o:ole="">
            <v:imagedata r:id="rId9" o:title=""/>
          </v:shape>
          <o:OLEObject Type="Embed" ProgID="Visio.Drawing.15" ShapeID="_x0000_i1025" DrawAspect="Content" ObjectID="_1555528057" r:id="rId10"/>
        </w:object>
      </w:r>
      <w:r w:rsidR="000F375B">
        <w:tab/>
      </w:r>
      <w:r w:rsidR="00EA0059">
        <w:tab/>
      </w:r>
      <w:r w:rsidR="000F375B">
        <w:tab/>
      </w:r>
      <w:r>
        <w:object w:dxaOrig="2835" w:dyaOrig="2115" w14:anchorId="2AE6D9A8">
          <v:shape id="_x0000_i1026" type="#_x0000_t75" style="width:116.25pt;height:86.25pt" o:ole="">
            <v:imagedata r:id="rId11" o:title=""/>
          </v:shape>
          <o:OLEObject Type="Embed" ProgID="Visio.Drawing.15" ShapeID="_x0000_i1026" DrawAspect="Content" ObjectID="_1555528058" r:id="rId12"/>
        </w:object>
      </w:r>
    </w:p>
    <w:p w14:paraId="2AE6D990" w14:textId="77777777" w:rsidR="000E614D" w:rsidRDefault="000F375B" w:rsidP="000E614D">
      <w:pPr>
        <w:ind w:firstLine="720"/>
      </w:pPr>
      <w:r>
        <w:t>Figure 1: SCG split bearer</w:t>
      </w:r>
      <w:r w:rsidR="00EA0059">
        <w:tab/>
      </w:r>
      <w:r w:rsidR="00EA0059">
        <w:tab/>
      </w:r>
      <w:r w:rsidR="000E614D">
        <w:tab/>
      </w:r>
      <w:r w:rsidR="000E614D">
        <w:tab/>
        <w:t xml:space="preserve">Figure 2: SCG </w:t>
      </w:r>
      <w:r>
        <w:t>bearer</w:t>
      </w:r>
      <w:r w:rsidR="000E614D">
        <w:tab/>
      </w:r>
    </w:p>
    <w:p w14:paraId="2AE6D991" w14:textId="18837BA0" w:rsidR="000127B5" w:rsidRDefault="006C02AF" w:rsidP="000E614D">
      <w:r>
        <w:t xml:space="preserve">If SCG bearer is merged </w:t>
      </w:r>
      <w:r w:rsidR="0046375A">
        <w:t xml:space="preserve">further </w:t>
      </w:r>
      <w:r>
        <w:t>with the SCG split bearer</w:t>
      </w:r>
      <w:r w:rsidR="00B2173C">
        <w:t xml:space="preserve"> and MCG split bearer</w:t>
      </w:r>
      <w:r w:rsidR="004E5D3D">
        <w:t xml:space="preserve"> </w:t>
      </w:r>
      <w:r w:rsidR="0046375A">
        <w:t>(i.e., unified split bearer)</w:t>
      </w:r>
      <w:r>
        <w:t xml:space="preserve">, the </w:t>
      </w:r>
      <w:r w:rsidR="00EA0059">
        <w:t>user plane architecture can be</w:t>
      </w:r>
      <w:r w:rsidR="00CC6BA9">
        <w:t xml:space="preserve"> as follow</w:t>
      </w:r>
      <w:r w:rsidR="0071663A">
        <w:t>s</w:t>
      </w:r>
      <w:r w:rsidR="00CC6BA9">
        <w:t xml:space="preserve"> where</w:t>
      </w:r>
      <w:r w:rsidR="000E614D">
        <w:t xml:space="preserve"> the PD</w:t>
      </w:r>
      <w:r w:rsidR="00CC6BA9">
        <w:t>CP layer is</w:t>
      </w:r>
      <w:r w:rsidR="000E614D">
        <w:t xml:space="preserve"> </w:t>
      </w:r>
      <w:r w:rsidR="00CC6BA9">
        <w:t>separated from the LTE and the NR stack:</w:t>
      </w:r>
      <w:r w:rsidR="00B2173C">
        <w:t xml:space="preserve"> </w:t>
      </w:r>
      <w:r>
        <w:t xml:space="preserve"> </w:t>
      </w:r>
    </w:p>
    <w:bookmarkStart w:id="2" w:name="_GoBack"/>
    <w:bookmarkEnd w:id="2"/>
    <w:p w14:paraId="2AE6D992" w14:textId="69ED96D9" w:rsidR="000127B5" w:rsidRDefault="004E5D3D" w:rsidP="000E614D">
      <w:pPr>
        <w:jc w:val="center"/>
      </w:pPr>
      <w:r>
        <w:object w:dxaOrig="4005" w:dyaOrig="2836" w14:anchorId="51FB42F8">
          <v:shape id="_x0000_i1027" type="#_x0000_t75" style="width:166.5pt;height:117.75pt" o:ole="">
            <v:imagedata r:id="rId13" o:title=""/>
          </v:shape>
          <o:OLEObject Type="Embed" ProgID="Visio.Drawing.15" ShapeID="_x0000_i1027" DrawAspect="Content" ObjectID="_1555528059" r:id="rId14"/>
        </w:object>
      </w:r>
    </w:p>
    <w:p w14:paraId="2AE6D993" w14:textId="77777777" w:rsidR="000E614D" w:rsidRDefault="000E614D" w:rsidP="000E614D">
      <w:pPr>
        <w:jc w:val="center"/>
      </w:pPr>
      <w:r>
        <w:t>Figure 3: Unified split bearer</w:t>
      </w:r>
    </w:p>
    <w:p w14:paraId="7BD5FC99" w14:textId="77777777" w:rsidR="00D14CFF" w:rsidRDefault="00CC6BA9" w:rsidP="000E02E3">
      <w:r>
        <w:lastRenderedPageBreak/>
        <w:t xml:space="preserve">From the user plane architecture view, the SCG bearer can be merged with SCG split bearer. </w:t>
      </w:r>
    </w:p>
    <w:p w14:paraId="030B0D16" w14:textId="253F6DBC" w:rsidR="00D14CFF" w:rsidRDefault="00D14CFF" w:rsidP="000E02E3">
      <w:r>
        <w:t>Our understanding of the intention of the merging of the SCG bearer with the (SCG) split bearer is to reduce the number of bearer types. That means UE will implement the split bearer.</w:t>
      </w:r>
      <w:r w:rsidR="00FC4378">
        <w:t xml:space="preserve"> It is then left to the network side whether to implement the SCG bearer or the split bearer.</w:t>
      </w:r>
      <w:r>
        <w:t xml:space="preserve"> </w:t>
      </w:r>
    </w:p>
    <w:p w14:paraId="5A01B1CC" w14:textId="17115837" w:rsidR="00D14CFF" w:rsidRDefault="00FC4378" w:rsidP="000E02E3">
      <w:r>
        <w:t xml:space="preserve">From the network implementation point of view, SCG bearer is simpler to implement than split bearer. For example, MeNB and SgNB do not have to support flow control over the Xn for </w:t>
      </w:r>
      <w:r w:rsidR="004771B9">
        <w:t>SCG</w:t>
      </w:r>
      <w:r>
        <w:t xml:space="preserve"> bearer. Also from network deployment point of view, it does not have </w:t>
      </w:r>
      <w:r w:rsidR="004771B9">
        <w:t xml:space="preserve">to be </w:t>
      </w:r>
      <w:r>
        <w:t>concerned with whether there is ideal/reasonable backhaul over Xn and other factors (e.g. system is lightly loaded etc.) as is required for split bearer. Hence early network implementation may support just SCG bearer.</w:t>
      </w:r>
      <w:r w:rsidR="004E1D76">
        <w:t xml:space="preserve"> Also SCG bearer is useful in </w:t>
      </w:r>
      <w:r w:rsidR="004771B9">
        <w:t xml:space="preserve">the </w:t>
      </w:r>
      <w:r w:rsidR="004E1D76">
        <w:t xml:space="preserve">deployment scenario where SN is deployed in </w:t>
      </w:r>
      <w:r w:rsidR="004771B9">
        <w:t xml:space="preserve">a </w:t>
      </w:r>
      <w:r w:rsidR="004E1D76">
        <w:t>low frequency band and for the case where split bearer is not beneficial.  In LTE DC, it was understood that inter-node aggregation is beneficial when there is large file size transmission, lightly loaded system, reasonable backhaul delay/capacity provided and achievable data rate on both links are comparable. In deployment where aggregation is not beneficial, there is no need of split bearer to provide the flexibility of dynamic or semi-static switching between the 2 legs.</w:t>
      </w:r>
    </w:p>
    <w:p w14:paraId="0E0ED0C8" w14:textId="20DF3620" w:rsidR="00D14CFF" w:rsidRDefault="004771B9" w:rsidP="000E02E3">
      <w:r>
        <w:t>Furthermore, t</w:t>
      </w:r>
      <w:r w:rsidR="00FC4378" w:rsidRPr="009B563B">
        <w:t>here may raise some in</w:t>
      </w:r>
      <w:r w:rsidR="004E1D76">
        <w:t xml:space="preserve">ter-operability issues if </w:t>
      </w:r>
      <w:r w:rsidR="00FC4378" w:rsidRPr="009B563B">
        <w:t>network implementation support just SCG bearer while the UE supports split bearer. For example, if in IOT the split bearer is tested with traffic routed only via the SCG only, then there is a risk of interoperability problems in later network deployments that want to route traffic via both SCG and MCG legs of the split bearer. In order to avoid this, there is still a need to have IOT or capability bit for the UE to indicat</w:t>
      </w:r>
      <w:r w:rsidR="009B563B" w:rsidRPr="009B563B">
        <w:t>e that it is inter-operability tested only for routing traffic over the SCG branch</w:t>
      </w:r>
      <w:r w:rsidR="00CF701F">
        <w:t>.</w:t>
      </w:r>
    </w:p>
    <w:p w14:paraId="1EFFD910" w14:textId="3747E490" w:rsidR="00CF701F" w:rsidRDefault="00CF701F" w:rsidP="000E02E3">
      <w:r w:rsidRPr="00CF701F">
        <w:rPr>
          <w:b/>
        </w:rPr>
        <w:t>Observation#1:</w:t>
      </w:r>
      <w:r>
        <w:t xml:space="preserve"> In order to prevent inter-operability issue, IOT or capability bit is still needed for the UE supporting split bearer to indicate whether it has been tested routing over just the SCG part or also the MCG part.</w:t>
      </w:r>
    </w:p>
    <w:p w14:paraId="26DF8E40" w14:textId="10E19494" w:rsidR="004E1D76" w:rsidRDefault="00CF701F" w:rsidP="004E1D76">
      <w:r>
        <w:t>As mentioned, from the network implementation, SCG bearer is simpler to implement than split bearer due to the not having to implement some of the functions (e.g. flow control between MeNB and SgNB etc.)</w:t>
      </w:r>
      <w:r w:rsidR="004E1D76">
        <w:t xml:space="preserve">. Also some network deployment does not require split bearer, so network may not implement/deploy it. From the UE implementation point of view, the gain of </w:t>
      </w:r>
      <w:r w:rsidR="00386C16">
        <w:t>merging the SCG bearer to</w:t>
      </w:r>
      <w:r w:rsidR="004E1D76">
        <w:t xml:space="preserve"> (SCG) split bearer is also not very clear:</w:t>
      </w:r>
    </w:p>
    <w:p w14:paraId="6961049D" w14:textId="77777777" w:rsidR="004E1D76" w:rsidRDefault="004E1D76" w:rsidP="004E1D76">
      <w:pPr>
        <w:pStyle w:val="ListParagraph"/>
        <w:numPr>
          <w:ilvl w:val="0"/>
          <w:numId w:val="3"/>
        </w:numPr>
      </w:pPr>
      <w:r>
        <w:t>UE still needs to implement data going through just the SCG branch</w:t>
      </w:r>
    </w:p>
    <w:p w14:paraId="49FAF34B" w14:textId="77777777" w:rsidR="004E1D76" w:rsidRDefault="004E1D76" w:rsidP="004E1D76">
      <w:pPr>
        <w:pStyle w:val="ListParagraph"/>
        <w:numPr>
          <w:ilvl w:val="0"/>
          <w:numId w:val="3"/>
        </w:numPr>
      </w:pPr>
      <w:r>
        <w:t>Instead of bearer type change (SCG bearer to/from MCG bearer), the UE has to implement the bearer traffic switch</w:t>
      </w:r>
    </w:p>
    <w:p w14:paraId="7DE51026" w14:textId="3B54728B" w:rsidR="00CF701F" w:rsidRDefault="004E1D76" w:rsidP="004E1D76">
      <w:r>
        <w:t>The number of combinations to support and test may not be any less from the UE implementation. In fact it may lose some implementation flexibility, e.g. allowing simpler implementation with loose or lower interaction between LTE and NR.</w:t>
      </w:r>
    </w:p>
    <w:p w14:paraId="249712FD" w14:textId="4EB0A5AB" w:rsidR="004E1D76" w:rsidRDefault="004E1D76" w:rsidP="004E1D76">
      <w:r w:rsidRPr="004E1D76">
        <w:rPr>
          <w:b/>
        </w:rPr>
        <w:t>Observation#2:</w:t>
      </w:r>
      <w:r>
        <w:t xml:space="preserve"> From the system perspective, SCG bearer will still be implemented in some form within the split bearer and will still need to be tested and supported</w:t>
      </w:r>
      <w:r w:rsidR="006448B3">
        <w:t>. Merging the SCG bearer with split bearer does not present a significant gain.</w:t>
      </w:r>
      <w:r>
        <w:t xml:space="preserve"> </w:t>
      </w:r>
    </w:p>
    <w:p w14:paraId="2AE6D99E" w14:textId="1F89A262" w:rsidR="004B69D2" w:rsidRDefault="000D3700" w:rsidP="000E02E3">
      <w:r w:rsidRPr="004174CC">
        <w:rPr>
          <w:b/>
        </w:rPr>
        <w:t>Proposal:</w:t>
      </w:r>
      <w:r w:rsidRPr="004174CC">
        <w:t xml:space="preserve"> SCG bearer </w:t>
      </w:r>
      <w:r w:rsidR="00640F15" w:rsidRPr="004174CC">
        <w:t xml:space="preserve">should be supported and </w:t>
      </w:r>
      <w:r w:rsidRPr="004174CC">
        <w:t>should not be merged with the split bearer.</w:t>
      </w:r>
    </w:p>
    <w:p w14:paraId="2AE6D99F" w14:textId="77777777" w:rsidR="00FB082B" w:rsidRDefault="00FB082B" w:rsidP="00FB082B">
      <w:pPr>
        <w:pStyle w:val="Heading1"/>
      </w:pPr>
      <w:r>
        <w:t>Conclusion and proposals</w:t>
      </w:r>
    </w:p>
    <w:p w14:paraId="2AE6D9A0" w14:textId="77777777" w:rsidR="00FB082B" w:rsidRDefault="00E30DAC" w:rsidP="00FB082B">
      <w:r>
        <w:t>It is requested that RAN 2 discuss and agree on the following proposal:</w:t>
      </w:r>
    </w:p>
    <w:p w14:paraId="0322E4D9" w14:textId="77777777" w:rsidR="006448B3" w:rsidRDefault="006448B3" w:rsidP="006448B3">
      <w:r w:rsidRPr="00CF701F">
        <w:rPr>
          <w:b/>
        </w:rPr>
        <w:lastRenderedPageBreak/>
        <w:t>Observation#1:</w:t>
      </w:r>
      <w:r>
        <w:t xml:space="preserve"> In order to prevent inter-operability issue, IOT or capability bit is still needed for the UE supporting split bearer to indicate whether it has been tested routing over just the SCG part or also the MCG part.</w:t>
      </w:r>
    </w:p>
    <w:p w14:paraId="50601A78" w14:textId="77777777" w:rsidR="006448B3" w:rsidRDefault="006448B3" w:rsidP="006448B3">
      <w:r w:rsidRPr="004E1D76">
        <w:rPr>
          <w:b/>
        </w:rPr>
        <w:t>Observation#2:</w:t>
      </w:r>
      <w:r>
        <w:t xml:space="preserve"> From the system perspective, SCG bearer will still be implemented in some form within the split bearer and will still need to be tested and supported. Merging the SCG bearer with split bearer does not present a significant gain. </w:t>
      </w:r>
    </w:p>
    <w:p w14:paraId="11E44EA1" w14:textId="77777777" w:rsidR="006448B3" w:rsidRDefault="006448B3" w:rsidP="006448B3">
      <w:r w:rsidRPr="004174CC">
        <w:rPr>
          <w:b/>
        </w:rPr>
        <w:t>Proposal:</w:t>
      </w:r>
      <w:r w:rsidRPr="004174CC">
        <w:t xml:space="preserve"> SCG bearer should be supported and should not be merged with the split bearer.</w:t>
      </w:r>
    </w:p>
    <w:p w14:paraId="2AE6D9A3" w14:textId="77777777" w:rsidR="00E30DAC" w:rsidRPr="006F7A26" w:rsidRDefault="00E30DAC" w:rsidP="00E30DAC">
      <w:r>
        <w:t xml:space="preserve">  </w:t>
      </w:r>
    </w:p>
    <w:p w14:paraId="2AE6D9A4" w14:textId="77777777" w:rsidR="00FB082B" w:rsidRPr="00FB082B" w:rsidRDefault="00FB082B" w:rsidP="00FB082B"/>
    <w:sectPr w:rsidR="00FB082B"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20E4"/>
    <w:rsid w:val="0000259F"/>
    <w:rsid w:val="000052F6"/>
    <w:rsid w:val="00005E74"/>
    <w:rsid w:val="000122EF"/>
    <w:rsid w:val="000127B5"/>
    <w:rsid w:val="00013A53"/>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31A1"/>
    <w:rsid w:val="000A5529"/>
    <w:rsid w:val="000A647B"/>
    <w:rsid w:val="000A6AC1"/>
    <w:rsid w:val="000A6C96"/>
    <w:rsid w:val="000A6F4D"/>
    <w:rsid w:val="000A75B0"/>
    <w:rsid w:val="000B7A4F"/>
    <w:rsid w:val="000C0749"/>
    <w:rsid w:val="000C088C"/>
    <w:rsid w:val="000C1817"/>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1D67"/>
    <w:rsid w:val="00152274"/>
    <w:rsid w:val="00152315"/>
    <w:rsid w:val="0015254C"/>
    <w:rsid w:val="001539C6"/>
    <w:rsid w:val="00153AE1"/>
    <w:rsid w:val="00154A26"/>
    <w:rsid w:val="00156F72"/>
    <w:rsid w:val="0016368A"/>
    <w:rsid w:val="00164CF9"/>
    <w:rsid w:val="00165AAC"/>
    <w:rsid w:val="00171235"/>
    <w:rsid w:val="00172FC5"/>
    <w:rsid w:val="00175A92"/>
    <w:rsid w:val="0017787C"/>
    <w:rsid w:val="0018188C"/>
    <w:rsid w:val="00181A67"/>
    <w:rsid w:val="001834AD"/>
    <w:rsid w:val="0018435C"/>
    <w:rsid w:val="001850B3"/>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6CEB"/>
    <w:rsid w:val="001C6F55"/>
    <w:rsid w:val="001D1718"/>
    <w:rsid w:val="001D1C57"/>
    <w:rsid w:val="001D2345"/>
    <w:rsid w:val="001D24BC"/>
    <w:rsid w:val="001D25F9"/>
    <w:rsid w:val="001D33A9"/>
    <w:rsid w:val="001D3C86"/>
    <w:rsid w:val="001D5B46"/>
    <w:rsid w:val="001D72BF"/>
    <w:rsid w:val="001D7312"/>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35A4"/>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688"/>
    <w:rsid w:val="00395782"/>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DA4"/>
    <w:rsid w:val="003B24AB"/>
    <w:rsid w:val="003B2D45"/>
    <w:rsid w:val="003B5AAE"/>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B10D0"/>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29F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ED2"/>
    <w:rsid w:val="00637171"/>
    <w:rsid w:val="00640F15"/>
    <w:rsid w:val="0064286D"/>
    <w:rsid w:val="0064450D"/>
    <w:rsid w:val="006448B3"/>
    <w:rsid w:val="00645660"/>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3AD6"/>
    <w:rsid w:val="00695C88"/>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7283"/>
    <w:rsid w:val="006E0187"/>
    <w:rsid w:val="006E0577"/>
    <w:rsid w:val="006E0843"/>
    <w:rsid w:val="006E0D2E"/>
    <w:rsid w:val="006E1DB3"/>
    <w:rsid w:val="006E5CAC"/>
    <w:rsid w:val="006E5E18"/>
    <w:rsid w:val="006E5EE9"/>
    <w:rsid w:val="006E637F"/>
    <w:rsid w:val="006E7FB8"/>
    <w:rsid w:val="006F3572"/>
    <w:rsid w:val="006F4569"/>
    <w:rsid w:val="006F4590"/>
    <w:rsid w:val="006F714C"/>
    <w:rsid w:val="006F773E"/>
    <w:rsid w:val="006F7A26"/>
    <w:rsid w:val="0070184D"/>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C2A"/>
    <w:rsid w:val="007D600D"/>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21C1"/>
    <w:rsid w:val="00924524"/>
    <w:rsid w:val="009245F2"/>
    <w:rsid w:val="00925023"/>
    <w:rsid w:val="00926478"/>
    <w:rsid w:val="009272FA"/>
    <w:rsid w:val="009276ED"/>
    <w:rsid w:val="00927D31"/>
    <w:rsid w:val="00927D6F"/>
    <w:rsid w:val="00932808"/>
    <w:rsid w:val="00932B19"/>
    <w:rsid w:val="00932FC8"/>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30C1"/>
    <w:rsid w:val="009C376B"/>
    <w:rsid w:val="009C5833"/>
    <w:rsid w:val="009C7D34"/>
    <w:rsid w:val="009D067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FA8"/>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173C"/>
    <w:rsid w:val="00B21752"/>
    <w:rsid w:val="00B230BF"/>
    <w:rsid w:val="00B230E8"/>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7A21"/>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2CA6"/>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499"/>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701F"/>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54C0"/>
    <w:rsid w:val="00D554C4"/>
    <w:rsid w:val="00D56392"/>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012"/>
    <w:rsid w:val="00DE313F"/>
    <w:rsid w:val="00DE323E"/>
    <w:rsid w:val="00DE36C2"/>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DAC"/>
    <w:rsid w:val="00E318D1"/>
    <w:rsid w:val="00E3194D"/>
    <w:rsid w:val="00E322F4"/>
    <w:rsid w:val="00E32719"/>
    <w:rsid w:val="00E32D15"/>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4B43"/>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059"/>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C7944"/>
    <w:rsid w:val="00ED0C6D"/>
    <w:rsid w:val="00ED111E"/>
    <w:rsid w:val="00ED16E3"/>
    <w:rsid w:val="00ED239B"/>
    <w:rsid w:val="00ED265D"/>
    <w:rsid w:val="00ED274A"/>
    <w:rsid w:val="00ED3B10"/>
    <w:rsid w:val="00ED4D65"/>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226"/>
    <w:rsid w:val="00F134E4"/>
    <w:rsid w:val="00F15AE1"/>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A7E"/>
    <w:rsid w:val="00F822B3"/>
    <w:rsid w:val="00F827B8"/>
    <w:rsid w:val="00F82D83"/>
    <w:rsid w:val="00F82F50"/>
    <w:rsid w:val="00F831C8"/>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865"/>
    <w:rsid w:val="00FC0953"/>
    <w:rsid w:val="00FC1224"/>
    <w:rsid w:val="00FC177A"/>
    <w:rsid w:val="00FC30DB"/>
    <w:rsid w:val="00FC4378"/>
    <w:rsid w:val="00FC45ED"/>
    <w:rsid w:val="00FC4B7E"/>
    <w:rsid w:val="00FC4F00"/>
    <w:rsid w:val="00FC5D27"/>
    <w:rsid w:val="00FC6988"/>
    <w:rsid w:val="00FD0F41"/>
    <w:rsid w:val="00FD1214"/>
    <w:rsid w:val="00FD46DB"/>
    <w:rsid w:val="00FD6D75"/>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D1D29A-0112-4624-BE22-A6B80333D760}">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6F46D47-B076-4D8B-8FAE-EB4EEBEC5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897</Words>
  <Characters>4400</Characters>
  <Application>Microsoft Office Word</Application>
  <DocSecurity>0</DocSecurity>
  <Lines>75</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Intel</cp:lastModifiedBy>
  <cp:revision>3</cp:revision>
  <dcterms:created xsi:type="dcterms:W3CDTF">2017-05-05T21:16:00Z</dcterms:created>
  <dcterms:modified xsi:type="dcterms:W3CDTF">2017-05-05T21:19:00Z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f4695b04-6caa-4b92-82b2-b62d481bf7cd</vt:lpwstr>
  </property>
  <property fmtid="{D5CDD505-2E9C-101B-9397-08002B2CF9AE}" pid="3" name="CTP_BU">
    <vt:lpwstr>NEXT GEN AND STANDARDS GROUP</vt:lpwstr>
  </property>
  <property fmtid="{D5CDD505-2E9C-101B-9397-08002B2CF9AE}" pid="4" name="CTP_TimeStamp">
    <vt:lpwstr>2017-05-05 21:19:52Z</vt:lpwstr>
  </property>
  <property fmtid="{D5CDD505-2E9C-101B-9397-08002B2CF9AE}" pid="5" name="ContentTypeId">
    <vt:lpwstr>0x01010058DDEB47312E4967BFC1576B96E8C3D40039B5EFFB71B84E46BCEF74BDDA92E4BD</vt:lpwstr>
  </property>
  <property fmtid="{D5CDD505-2E9C-101B-9397-08002B2CF9AE}" pid="6" name="CTPClassification">
    <vt:lpwstr>CTP_IC</vt:lpwstr>
  </property>
</Properties>
</file>